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震党〔201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〕1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号</w:t>
      </w:r>
    </w:p>
    <w:p>
      <w:pPr>
        <w:spacing w:line="480" w:lineRule="exact"/>
        <w:ind w:firstLine="2100" w:firstLineChars="1000"/>
        <w:rPr>
          <w:rFonts w:hint="eastAsia" w:ascii="仿宋" w:hAnsi="仿宋" w:eastAsia="仿宋" w:cs="仿宋"/>
          <w:color w:val="000000"/>
          <w:kern w:val="0"/>
          <w:szCs w:val="21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 xml:space="preserve">            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关于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下发《上海震旦职业学院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 w:val="0"/>
          <w:color w:val="auto"/>
          <w:kern w:val="0"/>
          <w:sz w:val="36"/>
          <w:szCs w:val="36"/>
          <w:lang w:val="en-US" w:eastAsia="zh-CN"/>
        </w:rPr>
        <w:t xml:space="preserve">          </w:t>
      </w:r>
      <w:r>
        <w:rPr>
          <w:rFonts w:hint="eastAsia" w:ascii="华文中宋" w:hAnsi="华文中宋" w:eastAsia="华文中宋" w:cs="华文中宋"/>
          <w:b/>
          <w:bCs w:val="0"/>
          <w:color w:val="auto"/>
          <w:kern w:val="0"/>
          <w:sz w:val="36"/>
          <w:szCs w:val="36"/>
        </w:rPr>
        <w:t>思想政治教育3D实施方案</w:t>
      </w:r>
      <w:r>
        <w:rPr>
          <w:rFonts w:hint="eastAsia" w:ascii="华文中宋" w:hAnsi="华文中宋" w:eastAsia="华文中宋" w:cs="华文中宋"/>
          <w:b/>
          <w:bCs w:val="0"/>
          <w:color w:val="auto"/>
          <w:kern w:val="0"/>
          <w:sz w:val="36"/>
          <w:szCs w:val="36"/>
          <w:lang w:eastAsia="zh-CN"/>
        </w:rPr>
        <w:t>》</w:t>
      </w:r>
      <w:r>
        <w:rPr>
          <w:rFonts w:hint="eastAsia" w:ascii="华文中宋" w:hAnsi="华文中宋" w:eastAsia="华文中宋" w:cs="华文中宋"/>
          <w:b/>
          <w:color w:val="auto"/>
          <w:sz w:val="36"/>
          <w:szCs w:val="36"/>
          <w:lang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leftChars="0"/>
        <w:jc w:val="left"/>
        <w:textAlignment w:val="auto"/>
        <w:rPr>
          <w:rFonts w:hint="eastAsia" w:ascii="华文中宋" w:hAnsi="华文中宋" w:eastAsia="华文中宋" w:cs="华文中宋"/>
          <w:b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leftChars="0"/>
        <w:jc w:val="left"/>
        <w:textAlignment w:val="auto"/>
        <w:rPr>
          <w:rFonts w:hint="eastAsia" w:ascii="华文中宋" w:hAnsi="华文中宋" w:eastAsia="华文中宋" w:cs="华文中宋"/>
          <w:b/>
          <w:sz w:val="28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sz w:val="28"/>
          <w:szCs w:val="36"/>
          <w:lang w:eastAsia="zh-CN"/>
        </w:rPr>
        <w:t>各部门：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leftChars="0" w:firstLine="560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36"/>
        </w:rPr>
        <w:t>为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  <w:lang w:eastAsia="zh-CN"/>
        </w:rPr>
        <w:t>贯彻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</w:rPr>
        <w:t>落实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  <w:lang w:eastAsia="zh-CN"/>
        </w:rPr>
        <w:t>党的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</w:rPr>
        <w:t>十八大和十八届各中全会精神，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  <w:lang w:eastAsia="zh-CN"/>
        </w:rPr>
        <w:t>贯彻落实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</w:rPr>
        <w:t>全国高校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  <w:lang w:eastAsia="zh-CN"/>
        </w:rPr>
        <w:t>思想政治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</w:rPr>
        <w:t>工作和上海市高校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  <w:lang w:eastAsia="zh-CN"/>
        </w:rPr>
        <w:t>思想政治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</w:rPr>
        <w:t>工作会议精神，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  <w:lang w:eastAsia="zh-CN"/>
        </w:rPr>
        <w:t>进一步加强我校的思想政治工作，实现学校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</w:rPr>
        <w:t>思想政治工作“制度化、日常化”，推进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  <w:lang w:eastAsia="zh-CN"/>
        </w:rPr>
        <w:t>学校思想政治教育创新建设，现将学校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</w:rPr>
        <w:t>党政联席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  <w:lang w:eastAsia="zh-CN"/>
        </w:rPr>
        <w:t>会议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</w:rPr>
        <w:t>讨论</w:t>
      </w:r>
      <w:r>
        <w:rPr>
          <w:rFonts w:hint="eastAsia" w:ascii="华文中宋" w:hAnsi="华文中宋" w:eastAsia="华文中宋" w:cs="华文中宋"/>
          <w:color w:val="auto"/>
          <w:sz w:val="28"/>
          <w:szCs w:val="36"/>
          <w:lang w:eastAsia="zh-CN"/>
        </w:rPr>
        <w:t>通过的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28"/>
          <w:szCs w:val="28"/>
          <w:lang w:eastAsia="zh-CN"/>
        </w:rPr>
        <w:t>《上海震旦职业学院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28"/>
          <w:szCs w:val="28"/>
        </w:rPr>
        <w:t>思想政治教育3D实施方案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28"/>
          <w:szCs w:val="28"/>
          <w:lang w:eastAsia="zh-CN"/>
        </w:rPr>
        <w:t>》发给你们，希望你们在今后的教育教学和各项工作中予以贯彻执行。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left="0" w:leftChars="0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华文中宋" w:hAnsi="华文中宋" w:eastAsia="华文中宋" w:cs="华文中宋"/>
          <w:sz w:val="28"/>
          <w:szCs w:val="28"/>
        </w:rPr>
        <w:t>中共上海震旦职业学院委员会</w:t>
      </w:r>
    </w:p>
    <w:tbl>
      <w:tblPr>
        <w:tblStyle w:val="4"/>
        <w:tblpPr w:leftFromText="180" w:rightFromText="180" w:vertAnchor="text" w:horzAnchor="page" w:tblpX="1877" w:tblpY="784"/>
        <w:tblOverlap w:val="never"/>
        <w:tblW w:w="9060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6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6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报：中共上海市教育卫生工作委员会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en-US" w:eastAsia="zh-CN"/>
              </w:rPr>
              <w:t xml:space="preserve">       抄报 ：中共上海市民办教育工作委员会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6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tcBorders>
              <w:top w:val="single" w:color="000000" w:sz="8" w:space="0"/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 xml:space="preserve">中共上海震旦职业学院委员会            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201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leftChars="0" w:right="640"/>
        <w:jc w:val="center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华文中宋" w:hAnsi="华文中宋" w:eastAsia="华文中宋" w:cs="华文中宋"/>
          <w:sz w:val="28"/>
          <w:szCs w:val="28"/>
        </w:rPr>
        <w:t>201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7</w:t>
      </w:r>
      <w:r>
        <w:rPr>
          <w:rFonts w:hint="eastAsia" w:ascii="华文中宋" w:hAnsi="华文中宋" w:eastAsia="华文中宋" w:cs="华文中宋"/>
          <w:sz w:val="28"/>
          <w:szCs w:val="28"/>
        </w:rPr>
        <w:t>年4月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24</w:t>
      </w:r>
      <w:r>
        <w:rPr>
          <w:rFonts w:hint="eastAsia" w:ascii="华文中宋" w:hAnsi="华文中宋" w:eastAsia="华文中宋" w:cs="华文中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T6274A293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9551609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</w:pPr>
      </w:p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D0CE3"/>
    <w:rsid w:val="0C6552C8"/>
    <w:rsid w:val="0D34469C"/>
    <w:rsid w:val="0EED0CE3"/>
    <w:rsid w:val="19327AC8"/>
    <w:rsid w:val="1D1E3FF5"/>
    <w:rsid w:val="2C6733E9"/>
    <w:rsid w:val="2EB64659"/>
    <w:rsid w:val="41F74CD1"/>
    <w:rsid w:val="42F60D9A"/>
    <w:rsid w:val="4FBB083D"/>
    <w:rsid w:val="535354A6"/>
    <w:rsid w:val="54EB516C"/>
    <w:rsid w:val="59C15394"/>
    <w:rsid w:val="61BD7B4C"/>
    <w:rsid w:val="63C95D66"/>
    <w:rsid w:val="6D644F08"/>
    <w:rsid w:val="79034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2017-04-05T07:00:00Z</dcterms:created>
  <dc:creator>Administrator</dc:creator>
  <cp:lastModifiedBy>Administrator</cp:lastModifiedBy>
  <cp:lastPrinted>2017-05-04T04:31:00Z</cp:lastPrinted>
  <dcterms:modified xsi:type="dcterms:W3CDTF">2017-05-05T00:40:06Z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