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36" w:rsidRPr="008B09C2" w:rsidRDefault="008B09C2" w:rsidP="008B09C2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8B09C2">
        <w:rPr>
          <w:rFonts w:ascii="黑体" w:eastAsia="黑体" w:hAnsi="黑体" w:hint="eastAsia"/>
          <w:b/>
          <w:sz w:val="44"/>
          <w:szCs w:val="44"/>
        </w:rPr>
        <w:t>2017年党委学习计划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3695"/>
        <w:gridCol w:w="4385"/>
        <w:gridCol w:w="1195"/>
      </w:tblGrid>
      <w:tr w:rsidR="008B09C2" w:rsidRPr="00EB3FF4" w:rsidTr="00EF7A0A">
        <w:trPr>
          <w:jc w:val="center"/>
        </w:trPr>
        <w:tc>
          <w:tcPr>
            <w:tcW w:w="1271" w:type="dxa"/>
          </w:tcPr>
          <w:p w:rsidR="008B09C2" w:rsidRPr="00EB3FF4" w:rsidRDefault="008B09C2" w:rsidP="00EF7A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B3FF4">
              <w:rPr>
                <w:rFonts w:asciiTheme="minorEastAsia" w:hAnsiTheme="minorEastAsia"/>
                <w:sz w:val="28"/>
                <w:szCs w:val="24"/>
              </w:rPr>
              <w:t>月份</w:t>
            </w:r>
          </w:p>
        </w:tc>
        <w:tc>
          <w:tcPr>
            <w:tcW w:w="3402" w:type="dxa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中心组学习</w:t>
            </w:r>
          </w:p>
        </w:tc>
        <w:tc>
          <w:tcPr>
            <w:tcW w:w="3695" w:type="dxa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党员学习</w:t>
            </w:r>
          </w:p>
        </w:tc>
        <w:tc>
          <w:tcPr>
            <w:tcW w:w="4385" w:type="dxa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全体教职工学习</w:t>
            </w:r>
          </w:p>
        </w:tc>
        <w:tc>
          <w:tcPr>
            <w:tcW w:w="1195" w:type="dxa"/>
          </w:tcPr>
          <w:p w:rsidR="008B09C2" w:rsidRPr="00EB3FF4" w:rsidRDefault="008B09C2" w:rsidP="00EF7A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/>
                <w:sz w:val="28"/>
                <w:szCs w:val="24"/>
              </w:rPr>
              <w:t>备注</w:t>
            </w:r>
          </w:p>
        </w:tc>
      </w:tr>
      <w:tr w:rsidR="008B09C2" w:rsidRPr="00EB3FF4" w:rsidTr="008B09C2">
        <w:trPr>
          <w:trHeight w:val="43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一月</w:t>
            </w:r>
          </w:p>
        </w:tc>
        <w:tc>
          <w:tcPr>
            <w:tcW w:w="11482" w:type="dxa"/>
            <w:gridSpan w:val="3"/>
            <w:vMerge w:val="restart"/>
          </w:tcPr>
          <w:p w:rsidR="008B09C2" w:rsidRP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b/>
                <w:sz w:val="24"/>
                <w:szCs w:val="24"/>
              </w:rPr>
              <w:t>“两学一做”</w:t>
            </w:r>
          </w:p>
          <w:p w:rsidR="008B09C2" w:rsidRPr="005C220B" w:rsidRDefault="008B09C2" w:rsidP="008B09C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组织党员深入学</w:t>
            </w:r>
            <w:proofErr w:type="gramStart"/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习习近</w:t>
            </w:r>
            <w:proofErr w:type="gramEnd"/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平总书记在党的十八届六中全会上的重要讲话精神</w:t>
            </w:r>
            <w:r w:rsidRPr="005C220B">
              <w:rPr>
                <w:rFonts w:ascii="仿宋_GB2312" w:eastAsia="仿宋_GB2312" w:cs="E-BX" w:hint="eastAsia"/>
                <w:kern w:val="0"/>
                <w:sz w:val="24"/>
                <w:szCs w:val="32"/>
              </w:rPr>
              <w:t>，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学习</w:t>
            </w:r>
            <w:r w:rsidRPr="005C220B">
              <w:rPr>
                <w:rFonts w:ascii="仿宋_GB2312" w:eastAsia="仿宋_GB2312" w:cs="E-BX" w:hint="eastAsia"/>
                <w:kern w:val="0"/>
                <w:sz w:val="24"/>
                <w:szCs w:val="32"/>
              </w:rPr>
              <w:t>《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关于新形势下党内政治生活的若干准则</w:t>
            </w:r>
            <w:r w:rsidRPr="005C220B">
              <w:rPr>
                <w:rFonts w:ascii="仿宋_GB2312" w:eastAsia="仿宋_GB2312" w:cs="E-BX" w:hint="eastAsia"/>
                <w:kern w:val="0"/>
                <w:sz w:val="24"/>
                <w:szCs w:val="32"/>
              </w:rPr>
              <w:t>》和《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中国共产党党内监督条例</w:t>
            </w:r>
            <w:r w:rsidRPr="005C220B">
              <w:rPr>
                <w:rFonts w:ascii="仿宋_GB2312" w:eastAsia="仿宋_GB2312" w:cs="E-BX" w:hint="eastAsia"/>
                <w:kern w:val="0"/>
                <w:sz w:val="24"/>
                <w:szCs w:val="32"/>
              </w:rPr>
              <w:t>》，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掌握基本内容和基本要求</w:t>
            </w:r>
            <w:r w:rsidRPr="005C220B">
              <w:rPr>
                <w:rFonts w:ascii="仿宋_GB2312" w:eastAsia="仿宋_GB2312" w:cs="E-BX" w:hint="eastAsia"/>
                <w:kern w:val="0"/>
                <w:sz w:val="24"/>
                <w:szCs w:val="32"/>
              </w:rPr>
              <w:t>，</w:t>
            </w:r>
            <w:r w:rsidRPr="00BA0BEE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健全完善基层组织建设和党员管理长效机制，进一步夯实基层党建基础。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trHeight w:val="516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二月</w:t>
            </w:r>
          </w:p>
        </w:tc>
        <w:tc>
          <w:tcPr>
            <w:tcW w:w="11482" w:type="dxa"/>
            <w:gridSpan w:val="3"/>
            <w:vMerge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三月</w:t>
            </w:r>
          </w:p>
        </w:tc>
        <w:tc>
          <w:tcPr>
            <w:tcW w:w="3402" w:type="dxa"/>
          </w:tcPr>
          <w:p w:rsidR="008B09C2" w:rsidRPr="0025125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1252">
              <w:rPr>
                <w:rFonts w:asciiTheme="minorEastAsia" w:hAnsiTheme="minorEastAsia" w:hint="eastAsia"/>
                <w:b/>
                <w:sz w:val="24"/>
                <w:szCs w:val="24"/>
              </w:rPr>
              <w:t>“两学一做”专题学习</w:t>
            </w:r>
          </w:p>
          <w:p w:rsidR="008B09C2" w:rsidRPr="00BA0BEE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0BEE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两会精神学习专题</w:t>
            </w:r>
          </w:p>
          <w:p w:rsidR="008B09C2" w:rsidRPr="0090252D" w:rsidRDefault="008B09C2" w:rsidP="008B09C2">
            <w:pPr>
              <w:spacing w:line="28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认真学习全国两会精神，立足学校改革发展实际，聚焦学校重点工作，把两会精神贯穿到教学科研、人才培养和管理服务等各项工作之中，不断提高人才培养质量，进一步推动以质量提升为核心的内涵建设。</w:t>
            </w:r>
          </w:p>
        </w:tc>
        <w:tc>
          <w:tcPr>
            <w:tcW w:w="3695" w:type="dxa"/>
          </w:tcPr>
          <w:p w:rsidR="008B09C2" w:rsidRPr="0025125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1252">
              <w:rPr>
                <w:rFonts w:asciiTheme="minorEastAsia" w:hAnsiTheme="minorEastAsia" w:hint="eastAsia"/>
                <w:b/>
                <w:sz w:val="24"/>
                <w:szCs w:val="24"/>
              </w:rPr>
              <w:t>“两学一做”专题学习</w:t>
            </w:r>
          </w:p>
          <w:p w:rsidR="008B09C2" w:rsidRPr="002D3178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D3178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两会精神学习专题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</w:tcPr>
          <w:p w:rsidR="008B09C2" w:rsidRPr="0090252D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两会精神学习专题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学习贯彻落实全国</w:t>
            </w:r>
            <w:proofErr w:type="gramStart"/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高校思政工作会议</w:t>
            </w:r>
            <w:proofErr w:type="gramEnd"/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和上海</w:t>
            </w:r>
            <w:proofErr w:type="gramStart"/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学校思政工作会议</w:t>
            </w:r>
            <w:proofErr w:type="gramEnd"/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精神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四月</w:t>
            </w:r>
          </w:p>
        </w:tc>
        <w:tc>
          <w:tcPr>
            <w:tcW w:w="3402" w:type="dxa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落实上海市学校思想政治工作会议精神</w:t>
            </w:r>
          </w:p>
          <w:p w:rsidR="008B09C2" w:rsidRPr="00BA0BEE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0BEE">
              <w:rPr>
                <w:rFonts w:asciiTheme="minorEastAsia" w:hAnsiTheme="minorEastAsia"/>
                <w:b/>
                <w:sz w:val="24"/>
                <w:szCs w:val="24"/>
              </w:rPr>
              <w:t>党风廉政教育学习专题</w:t>
            </w:r>
          </w:p>
          <w:p w:rsidR="008B09C2" w:rsidRPr="0090252D" w:rsidRDefault="008B09C2" w:rsidP="008B09C2">
            <w:pPr>
              <w:spacing w:line="28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进一步完善我校内部廉洁从政机制，从规范权力入手，梳理制度存在的漏洞和缺陷，加大对制度执行力度的监督检查，增强制度的约束力。巩固“三严三实”专题教育活动和党的群众路线教育实践活动成果；对教委和纪委提出的，防止在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“采购、经营、招生、提干”等环节中出现的党风廉政等群众最关心的党的地位与党的形象问题，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重点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监督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检查。</w:t>
            </w:r>
          </w:p>
        </w:tc>
        <w:tc>
          <w:tcPr>
            <w:tcW w:w="3695" w:type="dxa"/>
          </w:tcPr>
          <w:p w:rsidR="008B09C2" w:rsidRPr="0025125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1252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“两学一做”专题组织生活和民主评议党员活动</w:t>
            </w:r>
          </w:p>
          <w:p w:rsidR="008B09C2" w:rsidRPr="002D3178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系列之一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教师政治素质与人格修养》黄</w:t>
            </w:r>
            <w:r w:rsidRPr="0090252D">
              <w:rPr>
                <w:rFonts w:ascii="仿宋_GB2312" w:hAnsiTheme="minorEastAsia" w:hint="eastAsia"/>
                <w:sz w:val="24"/>
                <w:szCs w:val="24"/>
              </w:rPr>
              <w:t>晞</w:t>
            </w:r>
            <w:proofErr w:type="gramStart"/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建书记</w:t>
            </w:r>
            <w:proofErr w:type="gramEnd"/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五月</w:t>
            </w:r>
          </w:p>
        </w:tc>
        <w:tc>
          <w:tcPr>
            <w:tcW w:w="3402" w:type="dxa"/>
            <w:vAlign w:val="center"/>
          </w:tcPr>
          <w:p w:rsidR="008B09C2" w:rsidRPr="00183268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教师队伍建设工作会议相关问题研究</w:t>
            </w:r>
          </w:p>
        </w:tc>
        <w:tc>
          <w:tcPr>
            <w:tcW w:w="36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D3178">
              <w:rPr>
                <w:rFonts w:asciiTheme="minorEastAsia" w:hAnsiTheme="minorEastAsia" w:hint="eastAsia"/>
                <w:b/>
                <w:sz w:val="24"/>
                <w:szCs w:val="24"/>
              </w:rPr>
              <w:t>宣传德育工作学习专题</w:t>
            </w:r>
          </w:p>
        </w:tc>
        <w:tc>
          <w:tcPr>
            <w:tcW w:w="438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系列之二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《师德师风培训》待定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六月</w:t>
            </w:r>
          </w:p>
        </w:tc>
        <w:tc>
          <w:tcPr>
            <w:tcW w:w="3402" w:type="dxa"/>
          </w:tcPr>
          <w:p w:rsidR="008B09C2" w:rsidRPr="00183268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3268">
              <w:rPr>
                <w:rFonts w:asciiTheme="minorEastAsia" w:hAnsiTheme="minorEastAsia" w:hint="eastAsia"/>
                <w:b/>
                <w:sz w:val="24"/>
                <w:szCs w:val="24"/>
              </w:rPr>
              <w:t>党史学习专题</w:t>
            </w:r>
          </w:p>
          <w:p w:rsidR="008B09C2" w:rsidRPr="0090252D" w:rsidRDefault="008B09C2" w:rsidP="008B09C2">
            <w:pPr>
              <w:spacing w:line="28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围绕建党95周年，系统重温中共党史和中国社会主义发展史，学习中国特色社会主义理论体系，深刻领会只有中国特色社会主义才能发展中国，切实增强中国特色社会主义道路自信、理论自信和制度自信</w:t>
            </w:r>
            <w:r w:rsidRPr="0090252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。</w:t>
            </w:r>
          </w:p>
        </w:tc>
        <w:tc>
          <w:tcPr>
            <w:tcW w:w="3695" w:type="dxa"/>
          </w:tcPr>
          <w:p w:rsidR="008B09C2" w:rsidRPr="00A23B8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3B82">
              <w:rPr>
                <w:rFonts w:asciiTheme="minorEastAsia" w:hAnsiTheme="minorEastAsia" w:hint="eastAsia"/>
                <w:b/>
                <w:sz w:val="24"/>
                <w:szCs w:val="24"/>
              </w:rPr>
              <w:t>开展创先争优系列活动</w:t>
            </w:r>
          </w:p>
        </w:tc>
        <w:tc>
          <w:tcPr>
            <w:tcW w:w="4385" w:type="dxa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系列之三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《创新发展》张惠莉理事长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七月</w:t>
            </w:r>
          </w:p>
        </w:tc>
        <w:tc>
          <w:tcPr>
            <w:tcW w:w="11482" w:type="dxa"/>
            <w:gridSpan w:val="3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 w:cs="Arial"/>
                <w:b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围绕庆祝建党九十六</w:t>
            </w:r>
            <w:r w:rsidRPr="005C220B"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周年，开展系列主题教育活动</w:t>
            </w: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。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kern w:val="0"/>
                <w:sz w:val="24"/>
                <w:szCs w:val="30"/>
              </w:rPr>
              <w:t>以庆祝建党九十六周年为契机，以讲座、座谈、研讨、参观、知识竞赛、演讲比赛等形式，开展“让党徽闪光，为党旗添彩”主题教育活动，进一步焕发党员队伍的生机活力，凝聚党员队伍和师生员工的团结力和向心力。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八月</w:t>
            </w:r>
          </w:p>
        </w:tc>
        <w:tc>
          <w:tcPr>
            <w:tcW w:w="11482" w:type="dxa"/>
            <w:gridSpan w:val="3"/>
          </w:tcPr>
          <w:p w:rsidR="008B09C2" w:rsidRPr="0090252D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庆祝建军90周年系列活动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九月</w:t>
            </w:r>
          </w:p>
        </w:tc>
        <w:tc>
          <w:tcPr>
            <w:tcW w:w="7097" w:type="dxa"/>
            <w:gridSpan w:val="2"/>
          </w:tcPr>
          <w:p w:rsidR="008B09C2" w:rsidRPr="00183268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3268">
              <w:rPr>
                <w:rFonts w:asciiTheme="minorEastAsia" w:hAnsiTheme="minorEastAsia"/>
                <w:b/>
                <w:sz w:val="24"/>
                <w:szCs w:val="24"/>
              </w:rPr>
              <w:t>深入学习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上海市十一次党代会</w:t>
            </w:r>
            <w:r w:rsidRPr="00183268">
              <w:rPr>
                <w:rFonts w:asciiTheme="minorEastAsia" w:hAnsiTheme="minorEastAsia"/>
                <w:b/>
                <w:sz w:val="24"/>
                <w:szCs w:val="24"/>
              </w:rPr>
              <w:t>相关会议文件精神</w:t>
            </w:r>
          </w:p>
        </w:tc>
        <w:tc>
          <w:tcPr>
            <w:tcW w:w="4385" w:type="dxa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系列之四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《教育教学理念和方法》陈力华院长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十月</w:t>
            </w:r>
          </w:p>
        </w:tc>
        <w:tc>
          <w:tcPr>
            <w:tcW w:w="7097" w:type="dxa"/>
            <w:gridSpan w:val="2"/>
            <w:vMerge w:val="restart"/>
            <w:vAlign w:val="center"/>
          </w:tcPr>
          <w:p w:rsidR="008B09C2" w:rsidRPr="005C220B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待定</w:t>
            </w:r>
            <w:r w:rsidR="00812EB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系列之五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《艺术的工作与工作的艺术》胡克文部长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十一月</w:t>
            </w:r>
          </w:p>
        </w:tc>
        <w:tc>
          <w:tcPr>
            <w:tcW w:w="7097" w:type="dxa"/>
            <w:gridSpan w:val="2"/>
            <w:vMerge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</w:tcPr>
          <w:p w:rsidR="008B09C2" w:rsidRPr="0090252D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十九大精神传达学习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十二月</w:t>
            </w:r>
          </w:p>
        </w:tc>
        <w:tc>
          <w:tcPr>
            <w:tcW w:w="7097" w:type="dxa"/>
            <w:gridSpan w:val="2"/>
            <w:vMerge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09C2" w:rsidRDefault="008B09C2" w:rsidP="008B09C2"/>
    <w:sectPr w:rsidR="008B09C2" w:rsidSect="008B0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创艺简老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创艺简老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9C2"/>
    <w:rsid w:val="00187536"/>
    <w:rsid w:val="002121D7"/>
    <w:rsid w:val="00812EBB"/>
    <w:rsid w:val="008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3C4C1-A7A1-42A2-9246-52A2960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胡克文</dc:creator>
  <cp:lastModifiedBy>克文 胡</cp:lastModifiedBy>
  <cp:revision>2</cp:revision>
  <dcterms:created xsi:type="dcterms:W3CDTF">2019-12-20T03:09:00Z</dcterms:created>
  <dcterms:modified xsi:type="dcterms:W3CDTF">2019-12-20T03:09:00Z</dcterms:modified>
</cp:coreProperties>
</file>