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0B" w:rsidRDefault="0044760B" w:rsidP="005363E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44760B" w:rsidRDefault="0044760B" w:rsidP="005363E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44760B" w:rsidRDefault="0044760B" w:rsidP="0044760B">
      <w:pPr>
        <w:jc w:val="center"/>
        <w:rPr>
          <w:b/>
          <w:color w:val="222222"/>
          <w:sz w:val="36"/>
          <w:szCs w:val="36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沪震职</w:t>
      </w:r>
      <w:proofErr w:type="gramEnd"/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2015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="001E3A9F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44760B" w:rsidRDefault="0044760B" w:rsidP="005363E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0E125A" w:rsidRPr="0044760B" w:rsidRDefault="007C2753" w:rsidP="005363E3">
      <w:pPr>
        <w:spacing w:line="360" w:lineRule="auto"/>
        <w:jc w:val="center"/>
        <w:rPr>
          <w:rFonts w:ascii="方正小标宋_GBK" w:eastAsia="方正小标宋_GBK" w:hAnsi="宋体" w:cs="宋体"/>
          <w:b/>
          <w:bCs/>
          <w:color w:val="000000"/>
          <w:sz w:val="36"/>
          <w:szCs w:val="36"/>
        </w:rPr>
      </w:pPr>
      <w:r w:rsidRPr="0044760B">
        <w:rPr>
          <w:rFonts w:ascii="方正小标宋_GBK" w:eastAsia="方正小标宋_GBK" w:hAnsi="宋体" w:cs="宋体" w:hint="eastAsia"/>
          <w:b/>
          <w:bCs/>
          <w:color w:val="000000"/>
          <w:sz w:val="36"/>
          <w:szCs w:val="36"/>
        </w:rPr>
        <w:t>上海震旦职业学院中心机房管理</w:t>
      </w:r>
      <w:r w:rsidR="00355B35" w:rsidRPr="0044760B">
        <w:rPr>
          <w:rFonts w:ascii="方正小标宋_GBK" w:eastAsia="方正小标宋_GBK" w:hAnsi="宋体" w:cs="宋体" w:hint="eastAsia"/>
          <w:b/>
          <w:bCs/>
          <w:color w:val="000000"/>
          <w:sz w:val="36"/>
          <w:szCs w:val="36"/>
        </w:rPr>
        <w:t>办法</w:t>
      </w:r>
    </w:p>
    <w:p w:rsidR="000E125A" w:rsidRPr="006E74B0" w:rsidRDefault="000E125A" w:rsidP="005363E3">
      <w:pPr>
        <w:spacing w:line="360" w:lineRule="auto"/>
        <w:ind w:firstLineChars="200" w:firstLine="720"/>
        <w:jc w:val="center"/>
        <w:rPr>
          <w:rFonts w:asciiTheme="minorEastAsia" w:eastAsiaTheme="minorEastAsia" w:hAnsiTheme="minorEastAsia"/>
          <w:bCs/>
          <w:sz w:val="36"/>
          <w:szCs w:val="36"/>
        </w:rPr>
      </w:pPr>
    </w:p>
    <w:p w:rsidR="007D5601" w:rsidRPr="0044760B" w:rsidRDefault="007C2753" w:rsidP="0044760B">
      <w:pPr>
        <w:widowControl/>
        <w:spacing w:line="500" w:lineRule="exact"/>
        <w:ind w:firstLine="482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中心机房的正常运行必须做到确保供电正常，空调，网络和服务器等所有设备运行正常。为实现中心机房的正常运行，特制订校园网中心机房</w:t>
      </w:r>
      <w:r w:rsidR="009A7A95" w:rsidRPr="0044760B">
        <w:rPr>
          <w:rFonts w:ascii="仿宋" w:eastAsia="仿宋" w:hAnsi="仿宋" w:cs="宋体" w:hint="eastAsia"/>
          <w:kern w:val="0"/>
          <w:sz w:val="32"/>
          <w:szCs w:val="32"/>
        </w:rPr>
        <w:t>办法</w:t>
      </w: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。</w:t>
      </w:r>
      <w:bookmarkStart w:id="0" w:name="_Toc21381"/>
    </w:p>
    <w:p w:rsidR="007C2753" w:rsidRPr="0044760B" w:rsidRDefault="005363E3" w:rsidP="0044760B">
      <w:pPr>
        <w:widowControl/>
        <w:spacing w:line="500" w:lineRule="exact"/>
        <w:ind w:firstLine="482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中心机房出入管理</w:t>
      </w:r>
      <w:bookmarkEnd w:id="0"/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内间房门常态应是关闭。特别是在作业完毕不再需要出入内间的时候，当事人需要确保内间房门的关闭。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持卡员工要妥善保管门禁卡，不得随意将</w:t>
      </w:r>
      <w:proofErr w:type="gramStart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门禁卡</w:t>
      </w:r>
      <w:proofErr w:type="gramEnd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借予他人使用；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如发现</w:t>
      </w:r>
      <w:proofErr w:type="gramStart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门禁卡</w:t>
      </w:r>
      <w:proofErr w:type="gramEnd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丢失须立即向</w:t>
      </w:r>
      <w:r w:rsidR="00990E32" w:rsidRPr="0044760B">
        <w:rPr>
          <w:rFonts w:ascii="仿宋" w:eastAsia="仿宋" w:hAnsi="仿宋" w:cs="宋体" w:hint="eastAsia"/>
          <w:kern w:val="0"/>
          <w:sz w:val="32"/>
          <w:szCs w:val="32"/>
        </w:rPr>
        <w:t>信息中心</w:t>
      </w:r>
      <w:r w:rsidR="00B73F0D" w:rsidRPr="0044760B">
        <w:rPr>
          <w:rFonts w:ascii="仿宋" w:eastAsia="仿宋" w:hAnsi="仿宋" w:cs="宋体" w:hint="eastAsia"/>
          <w:kern w:val="0"/>
          <w:sz w:val="32"/>
          <w:szCs w:val="32"/>
        </w:rPr>
        <w:t>领导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报告。接到挂失通知后，</w:t>
      </w:r>
      <w:r w:rsidR="0071489A" w:rsidRPr="0044760B">
        <w:rPr>
          <w:rFonts w:ascii="仿宋" w:eastAsia="仿宋" w:hAnsi="仿宋" w:cs="宋体" w:hint="eastAsia"/>
          <w:kern w:val="0"/>
          <w:sz w:val="32"/>
          <w:szCs w:val="32"/>
        </w:rPr>
        <w:t>应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采取紧急应对措施，确保机房安全。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作业人员离开机房的时候，必须确认中心机房的房门是关闭的，不能让房门处于虚掩状态。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任何无授权人员不可在没有授权人员陪同的场合单独留在</w:t>
      </w:r>
      <w:r w:rsidR="006E74B0" w:rsidRPr="0044760B">
        <w:rPr>
          <w:rFonts w:ascii="仿宋" w:eastAsia="仿宋" w:hAnsi="仿宋" w:cs="宋体" w:hint="eastAsia"/>
          <w:kern w:val="0"/>
          <w:sz w:val="32"/>
          <w:szCs w:val="32"/>
        </w:rPr>
        <w:t>中心</w:t>
      </w:r>
      <w:r w:rsidR="00B73F0D" w:rsidRPr="0044760B">
        <w:rPr>
          <w:rFonts w:ascii="仿宋" w:eastAsia="仿宋" w:hAnsi="仿宋" w:cs="宋体" w:hint="eastAsia"/>
          <w:kern w:val="0"/>
          <w:sz w:val="32"/>
          <w:szCs w:val="32"/>
        </w:rPr>
        <w:t>机房内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任何非授权人员进入机房后，不能打开外间的文件柜。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当软件媒体，资料等不再需要的时候，授权人员必须把它们放回原存放处，不能把它们</w:t>
      </w:r>
      <w:proofErr w:type="gramStart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遗</w:t>
      </w:r>
      <w:proofErr w:type="gramEnd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放在桌面上。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8.</w:t>
      </w:r>
      <w:r w:rsidR="00B73F0D" w:rsidRPr="0044760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990E32" w:rsidRPr="0044760B">
        <w:rPr>
          <w:rFonts w:ascii="仿宋" w:eastAsia="仿宋" w:hAnsi="仿宋" w:cs="宋体" w:hint="eastAsia"/>
          <w:kern w:val="0"/>
          <w:sz w:val="32"/>
          <w:szCs w:val="32"/>
        </w:rPr>
        <w:t>信息中心</w:t>
      </w:r>
      <w:r w:rsidR="00B73F0D" w:rsidRPr="0044760B">
        <w:rPr>
          <w:rFonts w:ascii="仿宋" w:eastAsia="仿宋" w:hAnsi="仿宋" w:cs="宋体" w:hint="eastAsia"/>
          <w:kern w:val="0"/>
          <w:sz w:val="32"/>
          <w:szCs w:val="32"/>
        </w:rPr>
        <w:t>网络管理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人员或设备厂商技术支持人员进入机房实施操作时，应明确操作目的和操作的对象设备，不得对无关设备进行非必要操作。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9.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机房内应注意用电安全，</w:t>
      </w:r>
      <w:r w:rsidR="0071489A" w:rsidRPr="0044760B">
        <w:rPr>
          <w:rFonts w:ascii="仿宋" w:eastAsia="仿宋" w:hAnsi="仿宋" w:cs="宋体" w:hint="eastAsia"/>
          <w:kern w:val="0"/>
          <w:sz w:val="32"/>
          <w:szCs w:val="32"/>
        </w:rPr>
        <w:t>注意PDU功率负荷。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因为功率太大会引起电线过热，是造成起火事故的隐患。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10.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任何被授权人员认为是无关的设备不能放在机房</w:t>
      </w:r>
      <w:r w:rsidR="00B73F0D" w:rsidRPr="0044760B">
        <w:rPr>
          <w:rFonts w:ascii="仿宋" w:eastAsia="仿宋" w:hAnsi="仿宋" w:cs="宋体" w:hint="eastAsia"/>
          <w:kern w:val="0"/>
          <w:sz w:val="32"/>
          <w:szCs w:val="32"/>
        </w:rPr>
        <w:t>内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。</w:t>
      </w:r>
      <w:bookmarkStart w:id="1" w:name="_Toc9491"/>
    </w:p>
    <w:p w:rsidR="007C2753" w:rsidRPr="0044760B" w:rsidRDefault="005363E3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设备定期保养</w:t>
      </w:r>
      <w:bookmarkEnd w:id="1"/>
    </w:p>
    <w:p w:rsidR="007D5601" w:rsidRPr="0044760B" w:rsidRDefault="007C2753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中心机房内的设备需要定期保养，确保正常运行。</w:t>
      </w:r>
      <w:bookmarkStart w:id="2" w:name="_Toc30036"/>
    </w:p>
    <w:p w:rsidR="007C2753" w:rsidRPr="0044760B" w:rsidRDefault="005363E3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三、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安全消防管理</w:t>
      </w:r>
      <w:bookmarkEnd w:id="2"/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机房内配备的灭火器不管是否使用过，超过出厂的保质期限时，必须</w:t>
      </w:r>
      <w:proofErr w:type="gramStart"/>
      <w:r w:rsidR="0071489A" w:rsidRPr="0044760B">
        <w:rPr>
          <w:rFonts w:ascii="仿宋" w:eastAsia="仿宋" w:hAnsi="仿宋" w:cs="宋体" w:hint="eastAsia"/>
          <w:kern w:val="0"/>
          <w:sz w:val="32"/>
          <w:szCs w:val="32"/>
        </w:rPr>
        <w:t>通知后保处</w:t>
      </w:r>
      <w:proofErr w:type="gramEnd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进行水压试验。</w:t>
      </w:r>
    </w:p>
    <w:p w:rsidR="007D5601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7D5601" w:rsidRPr="0044760B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机房内不得堆放易燃物品，如纸箱和废纸等。</w:t>
      </w:r>
    </w:p>
    <w:p w:rsidR="007D5601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7D5601" w:rsidRPr="0044760B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机房内的电源和插座为机房设备专用，非机房设备不得使用机房电源。</w:t>
      </w:r>
    </w:p>
    <w:p w:rsidR="007D5601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7D5601" w:rsidRPr="0044760B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机房内要经常检查有无</w:t>
      </w:r>
      <w:r w:rsidR="0071489A" w:rsidRPr="0044760B">
        <w:rPr>
          <w:rFonts w:ascii="仿宋" w:eastAsia="仿宋" w:hAnsi="仿宋" w:cs="宋体" w:hint="eastAsia"/>
          <w:kern w:val="0"/>
          <w:sz w:val="32"/>
          <w:szCs w:val="32"/>
        </w:rPr>
        <w:t>鼠患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，一旦发现，应立即采取措施。</w:t>
      </w:r>
      <w:bookmarkStart w:id="3" w:name="_Toc20032"/>
    </w:p>
    <w:p w:rsidR="007C2753" w:rsidRPr="0044760B" w:rsidRDefault="005363E3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四、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环境卫生管理</w:t>
      </w:r>
      <w:bookmarkEnd w:id="3"/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任何进入中心机房内间</w:t>
      </w:r>
      <w:r w:rsidR="0071489A" w:rsidRPr="0044760B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人员，必须换鞋或穿上鞋套，以保持内间的清洁。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机房应</w:t>
      </w:r>
      <w:proofErr w:type="gramStart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定期由</w:t>
      </w:r>
      <w:proofErr w:type="gramEnd"/>
      <w:r w:rsidR="00990E32" w:rsidRPr="0044760B">
        <w:rPr>
          <w:rFonts w:ascii="仿宋" w:eastAsia="仿宋" w:hAnsi="仿宋" w:cs="宋体" w:hint="eastAsia"/>
          <w:kern w:val="0"/>
          <w:sz w:val="32"/>
          <w:szCs w:val="32"/>
        </w:rPr>
        <w:t>信息中心</w:t>
      </w:r>
      <w:r w:rsidR="00DD0F3E" w:rsidRPr="0044760B">
        <w:rPr>
          <w:rFonts w:ascii="仿宋" w:eastAsia="仿宋" w:hAnsi="仿宋" w:cs="宋体" w:hint="eastAsia"/>
          <w:kern w:val="0"/>
          <w:sz w:val="32"/>
          <w:szCs w:val="32"/>
        </w:rPr>
        <w:t>网络管理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工作人员实施保洁。</w:t>
      </w:r>
    </w:p>
    <w:p w:rsidR="007D5601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7D5601" w:rsidRPr="0044760B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中心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机房内严禁吸烟，就餐。</w:t>
      </w:r>
    </w:p>
    <w:p w:rsidR="007D5601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7D5601" w:rsidRPr="0044760B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严格禁止携带与工作无关的物品进入机房，特别是危险、易燃和易</w:t>
      </w:r>
      <w:proofErr w:type="gramStart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爆</w:t>
      </w:r>
      <w:proofErr w:type="gramEnd"/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物品。</w:t>
      </w:r>
    </w:p>
    <w:p w:rsidR="007D5601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7D5601" w:rsidRPr="0044760B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机房内严禁存放任何食品。</w:t>
      </w:r>
      <w:bookmarkStart w:id="4" w:name="_Toc23844"/>
    </w:p>
    <w:p w:rsidR="007C2753" w:rsidRPr="0044760B" w:rsidRDefault="005363E3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五、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保密管理</w:t>
      </w:r>
      <w:bookmarkEnd w:id="4"/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中心机房内的服务器备份，需要存放在指定的外存设备，不能存放在任何个人的电脑或存储设备上。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各类密码不能与非相关人员共享。写在纸上的密码不能存放机房内，必须有相关个人持有。</w:t>
      </w:r>
      <w:r w:rsidR="00BD685A" w:rsidRPr="0044760B">
        <w:rPr>
          <w:rFonts w:ascii="仿宋" w:eastAsia="仿宋" w:hAnsi="仿宋" w:cs="宋体" w:hint="eastAsia"/>
          <w:kern w:val="0"/>
          <w:sz w:val="32"/>
          <w:szCs w:val="32"/>
        </w:rPr>
        <w:t>所有设备、系统的密码应放在学校保密室保存，以备特殊情况使用</w:t>
      </w:r>
      <w:r w:rsidR="005363E3" w:rsidRPr="0044760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中心机房内的服务器上有关个人信息的数据，不能以任何方式泄露给非授权人员，不能以任何方式在公共环境上传播。</w:t>
      </w:r>
    </w:p>
    <w:p w:rsidR="007D5601" w:rsidRPr="0044760B" w:rsidRDefault="007D5601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各类打印的资料不得乱丢乱放。</w:t>
      </w:r>
      <w:bookmarkStart w:id="5" w:name="_Toc16245"/>
    </w:p>
    <w:p w:rsidR="007C2753" w:rsidRPr="0044760B" w:rsidRDefault="005363E3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六、</w:t>
      </w:r>
      <w:r w:rsidR="006E74B0" w:rsidRPr="0044760B">
        <w:rPr>
          <w:rFonts w:ascii="仿宋" w:eastAsia="仿宋" w:hAnsi="仿宋" w:cs="宋体" w:hint="eastAsia"/>
          <w:kern w:val="0"/>
          <w:sz w:val="32"/>
          <w:szCs w:val="32"/>
        </w:rPr>
        <w:t>软件与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文档资料管理</w:t>
      </w:r>
      <w:bookmarkEnd w:id="5"/>
    </w:p>
    <w:p w:rsidR="006E74B0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1.具有使用许可的软件光盘必须存放在中心机房内的指定场所。</w:t>
      </w:r>
    </w:p>
    <w:p w:rsidR="006E74B0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2.授权软件在任何情况下不可被用于其它学校、公司或个人。因工作需要，须要使用这些软件，须要征得部门负责人的认可。</w:t>
      </w:r>
    </w:p>
    <w:p w:rsidR="006E74B0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3.使用软件媒体必须小心，以防损坏。</w:t>
      </w:r>
      <w:bookmarkStart w:id="6" w:name="_GoBack"/>
      <w:bookmarkEnd w:id="6"/>
    </w:p>
    <w:p w:rsidR="006E74B0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4.为了软件激活而获取的密钥，不能泄露给其它学校或公司或个人。</w:t>
      </w:r>
    </w:p>
    <w:p w:rsidR="006E74B0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5.密钥的管理必须做到随时可以查询。</w:t>
      </w:r>
    </w:p>
    <w:p w:rsidR="007D5601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7D5601" w:rsidRPr="0044760B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中心机房内存放</w:t>
      </w: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设备采购需求书，厂方提供的各类技术资料，产品使用说明书</w:t>
      </w: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不能擅自废弃。</w:t>
      </w:r>
    </w:p>
    <w:p w:rsidR="007D5601" w:rsidRPr="0044760B" w:rsidRDefault="006E74B0" w:rsidP="0044760B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7D5601" w:rsidRPr="0044760B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C2753" w:rsidRPr="0044760B">
        <w:rPr>
          <w:rFonts w:ascii="仿宋" w:eastAsia="仿宋" w:hAnsi="仿宋" w:cs="宋体" w:hint="eastAsia"/>
          <w:kern w:val="0"/>
          <w:sz w:val="32"/>
          <w:szCs w:val="32"/>
        </w:rPr>
        <w:t>机房授权人员可以借阅上述资料，但阅读完毕后必须归还。</w:t>
      </w:r>
      <w:bookmarkStart w:id="7" w:name="_Toc6074"/>
    </w:p>
    <w:bookmarkEnd w:id="7"/>
    <w:p w:rsidR="001A1BF8" w:rsidRPr="0044760B" w:rsidRDefault="001A1BF8" w:rsidP="0044760B">
      <w:pPr>
        <w:widowControl/>
        <w:spacing w:line="500" w:lineRule="exact"/>
        <w:ind w:firstLine="482"/>
        <w:rPr>
          <w:rFonts w:ascii="仿宋" w:eastAsia="仿宋" w:hAnsi="仿宋" w:cs="宋体"/>
          <w:kern w:val="0"/>
          <w:sz w:val="32"/>
          <w:szCs w:val="32"/>
        </w:rPr>
      </w:pPr>
    </w:p>
    <w:p w:rsidR="007151CE" w:rsidRPr="0044760B" w:rsidRDefault="00990E32" w:rsidP="0044760B">
      <w:pPr>
        <w:widowControl/>
        <w:spacing w:line="500" w:lineRule="exact"/>
        <w:ind w:firstLine="482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上海震旦职业学院</w:t>
      </w:r>
    </w:p>
    <w:p w:rsidR="007151CE" w:rsidRDefault="007151CE" w:rsidP="0044760B">
      <w:pPr>
        <w:widowControl/>
        <w:spacing w:line="500" w:lineRule="exact"/>
        <w:ind w:firstLine="482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2015年</w:t>
      </w:r>
      <w:r w:rsidR="001A1BF8" w:rsidRPr="0044760B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44760B">
        <w:rPr>
          <w:rFonts w:ascii="仿宋" w:eastAsia="仿宋" w:hAnsi="仿宋" w:cs="宋体" w:hint="eastAsia"/>
          <w:kern w:val="0"/>
          <w:sz w:val="32"/>
          <w:szCs w:val="32"/>
        </w:rPr>
        <w:t>月</w:t>
      </w:r>
    </w:p>
    <w:p w:rsidR="0044760B" w:rsidRDefault="0044760B" w:rsidP="0044760B">
      <w:pPr>
        <w:widowControl/>
        <w:spacing w:line="500" w:lineRule="exact"/>
        <w:ind w:firstLine="482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44760B" w:rsidRDefault="0044760B" w:rsidP="0044760B">
      <w:pPr>
        <w:widowControl/>
        <w:spacing w:line="500" w:lineRule="exact"/>
        <w:ind w:firstLine="482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44760B" w:rsidRDefault="0044760B" w:rsidP="0044760B">
      <w:pPr>
        <w:widowControl/>
        <w:spacing w:line="500" w:lineRule="exact"/>
        <w:ind w:firstLine="482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44760B" w:rsidRDefault="0044760B" w:rsidP="0044760B">
      <w:pPr>
        <w:widowControl/>
        <w:spacing w:line="500" w:lineRule="exact"/>
        <w:ind w:firstLine="482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44760B" w:rsidRPr="000C7814" w:rsidRDefault="0044760B" w:rsidP="0044760B">
      <w:pPr>
        <w:spacing w:line="4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C781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</w:t>
      </w:r>
    </w:p>
    <w:p w:rsidR="0044760B" w:rsidRPr="000C7814" w:rsidRDefault="0044760B" w:rsidP="0044760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0C781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上海震旦职业学院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Pr="000C781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2015年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6</w:t>
      </w:r>
      <w:r w:rsidRPr="000C781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月    </w:t>
      </w:r>
    </w:p>
    <w:p w:rsidR="0044760B" w:rsidRPr="0044760B" w:rsidRDefault="0044760B" w:rsidP="0044760B">
      <w:pPr>
        <w:widowControl/>
        <w:spacing w:line="500" w:lineRule="exact"/>
        <w:ind w:firstLine="482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sectPr w:rsidR="0044760B" w:rsidRPr="0044760B" w:rsidSect="004C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0E" w:rsidRDefault="00A3080E" w:rsidP="000E125A">
      <w:r>
        <w:separator/>
      </w:r>
    </w:p>
  </w:endnote>
  <w:endnote w:type="continuationSeparator" w:id="0">
    <w:p w:rsidR="00A3080E" w:rsidRDefault="00A3080E" w:rsidP="000E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NEU-BKB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3682"/>
      <w:docPartObj>
        <w:docPartGallery w:val="Page Numbers (Bottom of Page)"/>
        <w:docPartUnique/>
      </w:docPartObj>
    </w:sdtPr>
    <w:sdtContent>
      <w:p w:rsidR="00FB1566" w:rsidRDefault="00FB1566">
        <w:pPr>
          <w:pStyle w:val="a4"/>
          <w:jc w:val="center"/>
        </w:pPr>
        <w:fldSimple w:instr=" PAGE   \* MERGEFORMAT ">
          <w:r w:rsidRPr="00FB1566">
            <w:rPr>
              <w:noProof/>
              <w:lang w:val="zh-CN"/>
            </w:rPr>
            <w:t>3</w:t>
          </w:r>
        </w:fldSimple>
      </w:p>
    </w:sdtContent>
  </w:sdt>
  <w:p w:rsidR="00FB1566" w:rsidRDefault="00FB15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0E" w:rsidRDefault="00A3080E" w:rsidP="000E125A">
      <w:r>
        <w:separator/>
      </w:r>
    </w:p>
  </w:footnote>
  <w:footnote w:type="continuationSeparator" w:id="0">
    <w:p w:rsidR="00A3080E" w:rsidRDefault="00A3080E" w:rsidP="000E1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845"/>
        </w:tabs>
        <w:ind w:left="425" w:hanging="425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845"/>
        </w:tabs>
        <w:ind w:left="425" w:hanging="425"/>
      </w:pPr>
      <w:rPr>
        <w:rFonts w:hint="default"/>
      </w:r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845"/>
        </w:tabs>
        <w:ind w:left="425" w:hanging="425"/>
      </w:pPr>
      <w:rPr>
        <w:rFonts w:hint="default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84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4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845"/>
        </w:tabs>
        <w:ind w:left="425" w:hanging="425"/>
      </w:pPr>
      <w:rPr>
        <w:rFonts w:hint="default"/>
      </w:rPr>
    </w:lvl>
  </w:abstractNum>
  <w:abstractNum w:abstractNumId="5">
    <w:nsid w:val="0000001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845"/>
        </w:tabs>
        <w:ind w:left="425" w:hanging="425"/>
      </w:pPr>
      <w:rPr>
        <w:rFonts w:hint="default"/>
      </w:rPr>
    </w:lvl>
  </w:abstractNum>
  <w:abstractNum w:abstractNumId="6">
    <w:nsid w:val="2FDB2526"/>
    <w:multiLevelType w:val="hybridMultilevel"/>
    <w:tmpl w:val="8CA4DDA0"/>
    <w:lvl w:ilvl="0" w:tplc="63449862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B95749"/>
    <w:multiLevelType w:val="hybridMultilevel"/>
    <w:tmpl w:val="3C8C3006"/>
    <w:lvl w:ilvl="0" w:tplc="3F3A0B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753"/>
    <w:rsid w:val="000A2133"/>
    <w:rsid w:val="000E125A"/>
    <w:rsid w:val="001501F1"/>
    <w:rsid w:val="001A1BF8"/>
    <w:rsid w:val="001E3A9F"/>
    <w:rsid w:val="0026284D"/>
    <w:rsid w:val="002A14FF"/>
    <w:rsid w:val="002D1476"/>
    <w:rsid w:val="00355B35"/>
    <w:rsid w:val="00380BFE"/>
    <w:rsid w:val="00391C68"/>
    <w:rsid w:val="0044760B"/>
    <w:rsid w:val="00454C38"/>
    <w:rsid w:val="004B4685"/>
    <w:rsid w:val="004C2E82"/>
    <w:rsid w:val="005363E3"/>
    <w:rsid w:val="00613D84"/>
    <w:rsid w:val="00614F0D"/>
    <w:rsid w:val="00676139"/>
    <w:rsid w:val="00693A05"/>
    <w:rsid w:val="006C2AAD"/>
    <w:rsid w:val="006E0B0B"/>
    <w:rsid w:val="006E74B0"/>
    <w:rsid w:val="0071489A"/>
    <w:rsid w:val="007151CE"/>
    <w:rsid w:val="007C2753"/>
    <w:rsid w:val="007D5601"/>
    <w:rsid w:val="007E00C3"/>
    <w:rsid w:val="00805986"/>
    <w:rsid w:val="00896349"/>
    <w:rsid w:val="008E2363"/>
    <w:rsid w:val="008E321F"/>
    <w:rsid w:val="00917403"/>
    <w:rsid w:val="00990E32"/>
    <w:rsid w:val="009A7A95"/>
    <w:rsid w:val="00A3080E"/>
    <w:rsid w:val="00AB6664"/>
    <w:rsid w:val="00B73F0D"/>
    <w:rsid w:val="00BD685A"/>
    <w:rsid w:val="00BF7591"/>
    <w:rsid w:val="00D10230"/>
    <w:rsid w:val="00D9661F"/>
    <w:rsid w:val="00DD0F3E"/>
    <w:rsid w:val="00E2510B"/>
    <w:rsid w:val="00E64AF3"/>
    <w:rsid w:val="00E90D1D"/>
    <w:rsid w:val="00FB1566"/>
    <w:rsid w:val="00FC32B2"/>
    <w:rsid w:val="00FC6071"/>
    <w:rsid w:val="00F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C275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C2753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E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2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25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D560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4760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760B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C275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C2753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E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2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25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D56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211</Words>
  <Characters>1205</Characters>
  <Application>Microsoft Office Word</Application>
  <DocSecurity>0</DocSecurity>
  <Lines>10</Lines>
  <Paragraphs>2</Paragraphs>
  <ScaleCrop>false</ScaleCrop>
  <Company>微软中国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2015-11-25T04:43:00Z</cp:lastPrinted>
  <dcterms:created xsi:type="dcterms:W3CDTF">2015-06-29T01:35:00Z</dcterms:created>
  <dcterms:modified xsi:type="dcterms:W3CDTF">2015-11-25T04:43:00Z</dcterms:modified>
</cp:coreProperties>
</file>